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ind w:right="25" w:rightChars="12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20</w:t>
      </w:r>
      <w:r>
        <w:rPr>
          <w:rFonts w:ascii="黑体" w:hAnsi="黑体" w:eastAsia="黑体"/>
          <w:b/>
          <w:sz w:val="36"/>
          <w:szCs w:val="36"/>
        </w:rPr>
        <w:t>2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b/>
          <w:sz w:val="36"/>
          <w:szCs w:val="36"/>
        </w:rPr>
        <w:t>年新入职教师教学技能培训方案</w:t>
      </w:r>
    </w:p>
    <w:p>
      <w:pPr>
        <w:spacing w:line="360" w:lineRule="auto"/>
        <w:ind w:right="25" w:rightChars="12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为加快新入职教师对教学工作的适应，帮助新教师理解当代大学教师职业的深刻内涵，掌握教学基本技能，规范教师教学行为，校教师教学发展中心组织开展新入职教师教学技能培训及活动。</w:t>
      </w:r>
    </w:p>
    <w:p>
      <w:pPr>
        <w:spacing w:line="360" w:lineRule="auto"/>
        <w:ind w:right="25" w:rightChars="12"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一、培训时间</w:t>
      </w:r>
    </w:p>
    <w:p>
      <w:pPr>
        <w:spacing w:line="360" w:lineRule="auto"/>
        <w:ind w:right="25" w:rightChars="12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 xml:space="preserve">    </w:t>
      </w:r>
      <w:r>
        <w:rPr>
          <w:rFonts w:hint="eastAsia" w:ascii="宋体" w:hAnsi="宋体"/>
          <w:sz w:val="24"/>
        </w:rPr>
        <w:t>20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年9月-20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月</w:t>
      </w:r>
    </w:p>
    <w:p>
      <w:pPr>
        <w:spacing w:line="360" w:lineRule="auto"/>
        <w:ind w:right="25" w:rightChars="12"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二、参加对象</w:t>
      </w:r>
    </w:p>
    <w:p>
      <w:pPr>
        <w:spacing w:line="360" w:lineRule="auto"/>
        <w:ind w:right="25" w:rightChars="12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新入职、职称在讲师及以下的专任教师等</w:t>
      </w:r>
    </w:p>
    <w:p>
      <w:pPr>
        <w:spacing w:line="360" w:lineRule="auto"/>
        <w:ind w:right="25" w:rightChars="12"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三、培训内容</w:t>
      </w:r>
    </w:p>
    <w:tbl>
      <w:tblPr>
        <w:tblStyle w:val="2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3969"/>
        <w:gridCol w:w="1559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活动类型</w:t>
            </w: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培训内容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负责部门</w:t>
            </w:r>
          </w:p>
        </w:tc>
        <w:tc>
          <w:tcPr>
            <w:tcW w:w="185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开班仪式</w:t>
            </w: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本科教学基本情况及相关政策制度解读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教务处</w:t>
            </w:r>
          </w:p>
        </w:tc>
        <w:tc>
          <w:tcPr>
            <w:tcW w:w="185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每参加1次活动计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学时，每位学员专题培训不少于12学时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99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专题培训</w:t>
            </w: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教育教学项目的申报与建设</w:t>
            </w:r>
          </w:p>
        </w:tc>
        <w:tc>
          <w:tcPr>
            <w:tcW w:w="1559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教师教学发展中心</w:t>
            </w:r>
          </w:p>
        </w:tc>
        <w:tc>
          <w:tcPr>
            <w:tcW w:w="185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9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课堂教学的组织与实施</w:t>
            </w:r>
          </w:p>
        </w:tc>
        <w:tc>
          <w:tcPr>
            <w:tcW w:w="155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课程思政建设与实践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9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现代教育技术与教育方法实践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9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一流本科课程建设专题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9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线上教学实践与案例分享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9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教学技能竞赛专题培训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9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互联网+混合式教学模式的探索与实践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个性辅导</w:t>
            </w: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分中心开展教学基本技能培训，从师德师风、授课计划和教案的撰写、如何备课、教学设计、课堂教学基本方法、课堂组织管理、教学科研互动、教学信息化能力等方面，选择相关主题，以沙龙、讲座、一对一等形式对本学院新教师进行培训。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分中心、基层教学组织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每参加1次活动计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学时（每个分中心须开展培训至少2次，活动结束后提交培训照片和报道至校教发中心）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教学实操</w:t>
            </w: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微格训练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教师教学发展中心</w:t>
            </w:r>
          </w:p>
        </w:tc>
        <w:tc>
          <w:tcPr>
            <w:tcW w:w="185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教学观摩</w:t>
            </w: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选择各级教学名师新秀、教学技能竞赛、一流课程等优秀课堂进行开放，供新教师观摩学习（教学观摩另行通知，听课表格见附件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教师教学发展中心、分中心、基层教学组织</w:t>
            </w:r>
          </w:p>
        </w:tc>
        <w:tc>
          <w:tcPr>
            <w:tcW w:w="185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每听1节课计1学时，每位学员旁听8-10节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公开课</w:t>
            </w: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分中心每学期组织1-2次新教师的公开课，对新教师的教学能力进行检验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分中心、基层教学组织</w:t>
            </w:r>
          </w:p>
        </w:tc>
        <w:tc>
          <w:tcPr>
            <w:tcW w:w="185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每1次公开教学试讲计4学时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微课制作</w:t>
            </w:r>
          </w:p>
        </w:tc>
        <w:tc>
          <w:tcPr>
            <w:tcW w:w="7386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培训结束后，学员须设计录制一个10分钟左右的微课视频，并附相应教案（格式见附件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）</w:t>
            </w:r>
          </w:p>
        </w:tc>
      </w:tr>
    </w:tbl>
    <w:p>
      <w:pPr>
        <w:spacing w:line="360" w:lineRule="auto"/>
        <w:ind w:right="25" w:rightChars="12"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四、学习要求</w:t>
      </w:r>
    </w:p>
    <w:p>
      <w:pPr>
        <w:spacing w:line="360" w:lineRule="auto"/>
        <w:ind w:right="25" w:rightChars="12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/>
          <w:sz w:val="24"/>
        </w:rPr>
        <w:t>该培训是入职培训、青年教师助讲培养的一部分，</w:t>
      </w:r>
      <w:r>
        <w:rPr>
          <w:rFonts w:hint="eastAsia" w:ascii="宋体" w:hAnsi="宋体"/>
          <w:sz w:val="24"/>
        </w:rPr>
        <w:t>新入职、职称为讲师及以下的教师须全程参加，修满40学时方能参加青年教师助讲培养考核。</w:t>
      </w:r>
      <w:r>
        <w:rPr>
          <w:rFonts w:hint="eastAsia"/>
          <w:sz w:val="24"/>
        </w:rPr>
        <w:t>培训学时同时</w:t>
      </w:r>
      <w:r>
        <w:rPr>
          <w:rFonts w:hint="eastAsia" w:ascii="宋体" w:hAnsi="宋体"/>
          <w:sz w:val="24"/>
        </w:rPr>
        <w:t>计入教师学时档案，作为</w:t>
      </w:r>
      <w:r>
        <w:rPr>
          <w:rFonts w:hint="eastAsia" w:ascii="宋体" w:hAnsi="宋体" w:cs="宋体"/>
          <w:color w:val="000000"/>
          <w:kern w:val="0"/>
          <w:sz w:val="24"/>
        </w:rPr>
        <w:t>专业技术职务评聘</w:t>
      </w:r>
      <w:r>
        <w:rPr>
          <w:rFonts w:hint="eastAsia" w:ascii="宋体" w:hAnsi="宋体"/>
          <w:sz w:val="24"/>
        </w:rPr>
        <w:t>、晋升等的必要条件。</w:t>
      </w:r>
    </w:p>
    <w:p>
      <w:pPr>
        <w:spacing w:line="360" w:lineRule="auto"/>
        <w:ind w:right="25" w:rightChars="12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2.所有培训活动采取</w:t>
      </w:r>
      <w:r>
        <w:rPr>
          <w:rFonts w:hint="eastAsia" w:ascii="宋体" w:hAnsi="宋体"/>
          <w:b/>
          <w:sz w:val="24"/>
          <w:u w:val="single"/>
        </w:rPr>
        <w:t>会前和会后两次签到制</w:t>
      </w:r>
      <w:r>
        <w:rPr>
          <w:rFonts w:hint="eastAsia" w:ascii="宋体" w:hAnsi="宋体"/>
          <w:sz w:val="24"/>
        </w:rPr>
        <w:t>，不得代签</w:t>
      </w:r>
      <w:r>
        <w:rPr>
          <w:rFonts w:hint="eastAsia" w:ascii="宋体" w:hAnsi="宋体" w:cs="宋体"/>
          <w:color w:val="000000"/>
          <w:kern w:val="0"/>
          <w:sz w:val="24"/>
        </w:rPr>
        <w:t>、迟到和中途离场；</w:t>
      </w:r>
      <w:r>
        <w:rPr>
          <w:rFonts w:hint="eastAsia" w:ascii="宋体" w:hAnsi="宋体"/>
          <w:sz w:val="24"/>
        </w:rPr>
        <w:t>若有任何原因不能参加，不能获得该次培训的学时</w:t>
      </w:r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>
      <w:pPr>
        <w:spacing w:line="360" w:lineRule="auto"/>
        <w:ind w:right="25" w:rightChars="12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3.培训活动的日程安排，均以当时所发通知、短信为准，敬请留意，收取通知后请主动回复。</w:t>
      </w:r>
    </w:p>
    <w:p>
      <w:pPr>
        <w:spacing w:line="360" w:lineRule="auto"/>
        <w:ind w:right="25" w:rightChars="12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>.2022</w:t>
      </w:r>
      <w:r>
        <w:rPr>
          <w:rFonts w:hint="eastAsia" w:ascii="宋体" w:hAnsi="宋体"/>
          <w:sz w:val="24"/>
        </w:rPr>
        <w:t>年起，所有培训都在教务管理系统中申请，培训考核结果将在教师教学发展中心网站公示。</w:t>
      </w:r>
    </w:p>
    <w:p>
      <w:pPr>
        <w:spacing w:line="360" w:lineRule="auto"/>
        <w:ind w:right="25" w:rightChars="12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</w:t>
      </w:r>
      <w:r>
        <w:rPr>
          <w:rFonts w:hint="eastAsia" w:ascii="宋体" w:hAnsi="宋体"/>
          <w:sz w:val="24"/>
          <w:lang w:val="en-US" w:eastAsia="zh-CN"/>
        </w:rPr>
        <w:t>余志敏</w:t>
      </w:r>
      <w:r>
        <w:rPr>
          <w:rFonts w:hint="eastAsia" w:ascii="宋体" w:hAnsi="宋体"/>
          <w:sz w:val="24"/>
        </w:rPr>
        <w:t>；联系方式：232</w:t>
      </w:r>
      <w:r>
        <w:rPr>
          <w:rFonts w:ascii="宋体" w:hAnsi="宋体"/>
          <w:sz w:val="24"/>
        </w:rPr>
        <w:t>2600</w:t>
      </w:r>
      <w:r>
        <w:rPr>
          <w:rFonts w:hint="eastAsia" w:ascii="宋体" w:hAnsi="宋体"/>
          <w:sz w:val="24"/>
        </w:rPr>
        <w:t>；邮箱：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HYPERLINK "mailto:</w:instrText>
      </w:r>
      <w:r>
        <w:rPr>
          <w:rFonts w:hint="eastAsia" w:ascii="宋体" w:hAnsi="宋体"/>
          <w:sz w:val="24"/>
        </w:rPr>
        <w:instrText xml:space="preserve">shijing@zjhu.edu.cn</w:instrText>
      </w:r>
      <w:r>
        <w:rPr>
          <w:rFonts w:ascii="宋体" w:hAnsi="宋体"/>
          <w:sz w:val="24"/>
        </w:rPr>
        <w:instrText xml:space="preserve">" </w:instrText>
      </w:r>
      <w:r>
        <w:rPr>
          <w:rFonts w:ascii="宋体" w:hAnsi="宋体"/>
          <w:sz w:val="24"/>
        </w:rPr>
        <w:fldChar w:fldCharType="separate"/>
      </w:r>
      <w:r>
        <w:rPr>
          <w:rStyle w:val="4"/>
          <w:rFonts w:hint="eastAsia" w:ascii="宋体" w:hAnsi="宋体"/>
          <w:sz w:val="24"/>
          <w:lang w:val="en-US" w:eastAsia="zh-CN"/>
        </w:rPr>
        <w:t>02448</w:t>
      </w:r>
      <w:r>
        <w:rPr>
          <w:rStyle w:val="4"/>
          <w:rFonts w:hint="eastAsia" w:ascii="宋体" w:hAnsi="宋体"/>
          <w:sz w:val="24"/>
        </w:rPr>
        <w:t>@zjhu.edu.cn</w: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right="25" w:rightChars="12"/>
        <w:rPr>
          <w:rFonts w:ascii="宋体" w:hAnsi="宋体"/>
          <w:sz w:val="24"/>
        </w:rPr>
      </w:pPr>
    </w:p>
    <w:p>
      <w:pPr>
        <w:spacing w:line="360" w:lineRule="auto"/>
        <w:ind w:right="25" w:rightChars="12"/>
        <w:rPr>
          <w:rFonts w:ascii="宋体" w:hAnsi="宋体"/>
          <w:sz w:val="24"/>
        </w:rPr>
      </w:pPr>
    </w:p>
    <w:p>
      <w:pPr>
        <w:spacing w:line="360" w:lineRule="auto"/>
        <w:ind w:right="25" w:rightChars="12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附件：</w:t>
      </w:r>
    </w:p>
    <w:p>
      <w:pPr>
        <w:spacing w:line="360" w:lineRule="auto"/>
        <w:ind w:right="25" w:rightChars="12"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.听课表格</w:t>
      </w:r>
    </w:p>
    <w:p>
      <w:pPr>
        <w:spacing w:line="360" w:lineRule="auto"/>
        <w:ind w:right="25" w:rightChars="12"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微课教案表格</w:t>
      </w:r>
    </w:p>
    <w:p>
      <w:pPr>
        <w:spacing w:line="360" w:lineRule="auto"/>
        <w:ind w:right="25" w:rightChars="12"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right="25" w:rightChars="12"/>
        <w:rPr>
          <w:rFonts w:ascii="宋体" w:hAnsi="宋体"/>
          <w:sz w:val="24"/>
        </w:rPr>
      </w:pPr>
    </w:p>
    <w:p>
      <w:pPr>
        <w:spacing w:line="360" w:lineRule="auto"/>
        <w:ind w:right="25" w:rightChars="12"/>
        <w:rPr>
          <w:rFonts w:ascii="宋体" w:hAnsi="宋体"/>
          <w:sz w:val="24"/>
        </w:rPr>
      </w:pPr>
    </w:p>
    <w:p>
      <w:pPr>
        <w:spacing w:line="360" w:lineRule="auto"/>
        <w:ind w:right="25" w:rightChars="12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教师教学发展中心</w:t>
      </w:r>
    </w:p>
    <w:p>
      <w:pPr>
        <w:spacing w:line="360" w:lineRule="auto"/>
        <w:ind w:right="25" w:rightChars="12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</w:rPr>
        <w:t>9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ascii="宋体" w:hAnsi="宋体"/>
          <w:sz w:val="24"/>
        </w:rPr>
        <w:t>日</w:t>
      </w:r>
    </w:p>
    <w:p>
      <w:pPr>
        <w:spacing w:line="360" w:lineRule="auto"/>
        <w:ind w:right="25" w:rightChars="12"/>
        <w:jc w:val="left"/>
        <w:rPr>
          <w:rFonts w:ascii="宋体" w:hAnsi="宋体"/>
          <w:sz w:val="24"/>
        </w:rPr>
      </w:pPr>
    </w:p>
    <w:p>
      <w:pPr>
        <w:spacing w:line="360" w:lineRule="auto"/>
        <w:ind w:right="25" w:rightChars="12"/>
        <w:jc w:val="left"/>
        <w:rPr>
          <w:rFonts w:ascii="宋体" w:hAnsi="宋体"/>
          <w:sz w:val="24"/>
        </w:rPr>
      </w:pPr>
    </w:p>
    <w:p>
      <w:pPr>
        <w:spacing w:line="360" w:lineRule="auto"/>
        <w:ind w:right="25" w:rightChars="12"/>
        <w:jc w:val="left"/>
        <w:rPr>
          <w:rFonts w:ascii="宋体" w:hAnsi="宋体"/>
          <w:sz w:val="24"/>
        </w:rPr>
      </w:pPr>
    </w:p>
    <w:p>
      <w:pPr>
        <w:spacing w:line="360" w:lineRule="auto"/>
        <w:ind w:right="25" w:rightChars="12"/>
        <w:jc w:val="left"/>
        <w:rPr>
          <w:rFonts w:ascii="宋体" w:hAnsi="宋体"/>
          <w:sz w:val="24"/>
        </w:rPr>
      </w:pPr>
    </w:p>
    <w:p>
      <w:pPr>
        <w:widowControl/>
        <w:spacing w:line="360" w:lineRule="auto"/>
        <w:jc w:val="left"/>
        <w:rPr>
          <w:rFonts w:hint="eastAsia" w:ascii="宋体" w:hAnsi="宋体" w:cs="宋体"/>
          <w:color w:val="333333"/>
          <w:kern w:val="0"/>
          <w:sz w:val="24"/>
        </w:rPr>
      </w:pPr>
    </w:p>
    <w:p>
      <w:pPr>
        <w:spacing w:line="360" w:lineRule="auto"/>
        <w:ind w:right="25" w:rightChars="12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ascii="宋体" w:hAnsi="宋体"/>
          <w:b/>
          <w:sz w:val="28"/>
          <w:szCs w:val="28"/>
        </w:rPr>
        <w:t>1</w:t>
      </w:r>
    </w:p>
    <w:p>
      <w:pPr>
        <w:ind w:right="25" w:rightChars="12"/>
        <w:jc w:val="center"/>
        <w:rPr>
          <w:rFonts w:ascii="微软雅黑" w:hAnsi="微软雅黑" w:eastAsia="微软雅黑"/>
          <w:b/>
          <w:spacing w:val="20"/>
          <w:kern w:val="0"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202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32"/>
          <w:szCs w:val="32"/>
        </w:rPr>
        <w:t>年新入职教师教学技能培训听课表格</w:t>
      </w:r>
    </w:p>
    <w:tbl>
      <w:tblPr>
        <w:tblStyle w:val="2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840"/>
        <w:gridCol w:w="705"/>
        <w:gridCol w:w="1336"/>
        <w:gridCol w:w="1910"/>
        <w:gridCol w:w="1429"/>
        <w:gridCol w:w="431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88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任教课程</w:t>
            </w:r>
          </w:p>
        </w:tc>
        <w:tc>
          <w:tcPr>
            <w:tcW w:w="3702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课堂教学观摩记录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课程/课时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任课教师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</w:tbl>
    <w:p>
      <w:pPr>
        <w:spacing w:after="156" w:afterLines="50" w:line="360" w:lineRule="exact"/>
        <w:ind w:right="25" w:rightChars="12"/>
        <w:jc w:val="left"/>
        <w:rPr>
          <w:rFonts w:ascii="宋体" w:hAnsi="宋体"/>
          <w:b/>
          <w:sz w:val="28"/>
          <w:szCs w:val="28"/>
        </w:rPr>
      </w:pPr>
    </w:p>
    <w:p>
      <w:pPr>
        <w:spacing w:after="156" w:afterLines="50" w:line="360" w:lineRule="exact"/>
        <w:ind w:right="25" w:rightChars="12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ascii="宋体" w:hAnsi="宋体"/>
          <w:b/>
          <w:sz w:val="28"/>
          <w:szCs w:val="28"/>
        </w:rPr>
        <w:t>2</w:t>
      </w:r>
    </w:p>
    <w:p>
      <w:pPr>
        <w:spacing w:line="0" w:lineRule="atLeast"/>
        <w:jc w:val="center"/>
        <w:rPr>
          <w:rFonts w:ascii="微软雅黑" w:hAnsi="微软雅黑" w:eastAsia="微软雅黑"/>
          <w:b/>
          <w:spacing w:val="20"/>
          <w:kern w:val="0"/>
          <w:sz w:val="32"/>
          <w:szCs w:val="32"/>
        </w:rPr>
      </w:pPr>
      <w:r>
        <w:rPr>
          <w:rFonts w:hint="eastAsia" w:ascii="微软雅黑" w:hAnsi="微软雅黑" w:eastAsia="微软雅黑"/>
          <w:b/>
          <w:spacing w:val="20"/>
          <w:kern w:val="0"/>
          <w:sz w:val="32"/>
          <w:szCs w:val="32"/>
        </w:rPr>
        <w:t>微课（视频）教案</w:t>
      </w:r>
    </w:p>
    <w:tbl>
      <w:tblPr>
        <w:tblStyle w:val="2"/>
        <w:tblW w:w="970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100"/>
        <w:gridCol w:w="1300"/>
        <w:gridCol w:w="1720"/>
        <w:gridCol w:w="1020"/>
        <w:gridCol w:w="20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教师姓名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3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微课主题</w:t>
            </w: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教学背景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教学目标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教学内容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课程思政元素融入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重点、难点及解决方法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教学方法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教学总结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作业设计与延伸拓展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spacing w:after="156" w:afterLines="50" w:line="360" w:lineRule="exact"/>
        <w:ind w:right="25" w:rightChars="12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可扩页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MTFhYTQxZDMyY2I4NDQ2OGI2NTczZjhmNDEwYmIifQ=="/>
  </w:docVars>
  <w:rsids>
    <w:rsidRoot w:val="4CB63E1D"/>
    <w:rsid w:val="1BE66D34"/>
    <w:rsid w:val="4CB63E1D"/>
    <w:rsid w:val="6342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1216</Words>
  <Characters>1278</Characters>
  <Lines>0</Lines>
  <Paragraphs>0</Paragraphs>
  <TotalTime>76</TotalTime>
  <ScaleCrop>false</ScaleCrop>
  <LinksUpToDate>false</LinksUpToDate>
  <CharactersWithSpaces>1654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2023-09-09T07:14:00Z</dcterms:created>
  <dc:creator>fish</dc:creator>
  <cp:lastModifiedBy>fish</cp:lastModifiedBy>
  <dcterms:modified xsi:type="dcterms:W3CDTF">2023-09-21T09:06:31Z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F2C27A153FB349F59780A3BB1CF77886_11</vt:lpwstr>
  </property>
</Properties>
</file>